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A3F" w:rsidRPr="009B2BD9" w:rsidRDefault="00687A3F" w:rsidP="00687A3F">
      <w:pPr>
        <w:pStyle w:val="a3"/>
        <w:widowControl w:val="0"/>
        <w:spacing w:before="0" w:after="0"/>
        <w:jc w:val="center"/>
        <w:rPr>
          <w:b/>
          <w:sz w:val="32"/>
          <w:szCs w:val="32"/>
        </w:rPr>
      </w:pPr>
      <w:r w:rsidRPr="009B2BD9">
        <w:rPr>
          <w:b/>
          <w:sz w:val="32"/>
          <w:szCs w:val="32"/>
        </w:rPr>
        <w:t>Оптимальное размещение складов</w:t>
      </w:r>
    </w:p>
    <w:p w:rsidR="00687A3F" w:rsidRPr="004F5210" w:rsidRDefault="00687A3F" w:rsidP="00687A3F">
      <w:pPr>
        <w:pStyle w:val="a3"/>
        <w:widowControl w:val="0"/>
        <w:spacing w:before="0" w:after="0"/>
        <w:ind w:firstLine="708"/>
        <w:jc w:val="center"/>
        <w:rPr>
          <w:b/>
          <w:i/>
          <w:sz w:val="16"/>
          <w:szCs w:val="16"/>
        </w:rPr>
      </w:pPr>
    </w:p>
    <w:p w:rsidR="00687A3F" w:rsidRDefault="00687A3F" w:rsidP="00687A3F">
      <w:pPr>
        <w:pStyle w:val="a3"/>
        <w:widowControl w:val="0"/>
        <w:spacing w:before="0" w:after="0"/>
        <w:ind w:firstLine="708"/>
        <w:jc w:val="both"/>
      </w:pPr>
      <w:r>
        <w:rPr>
          <w:sz w:val="32"/>
          <w:szCs w:val="32"/>
        </w:rPr>
        <w:t xml:space="preserve">Определение количества складов в регионе и координат их </w:t>
      </w:r>
      <w:bookmarkStart w:id="0" w:name="_GoBack"/>
      <w:bookmarkEnd w:id="0"/>
      <w:r>
        <w:rPr>
          <w:sz w:val="32"/>
          <w:szCs w:val="32"/>
        </w:rPr>
        <w:t xml:space="preserve">расположения – одна из наиболее интересных задач в теории логистики. Сущность </w:t>
      </w:r>
      <w:r>
        <w:rPr>
          <w:i/>
          <w:sz w:val="32"/>
          <w:szCs w:val="32"/>
        </w:rPr>
        <w:t>задачи оптимального размещения складов</w:t>
      </w:r>
      <w:r>
        <w:rPr>
          <w:sz w:val="32"/>
          <w:szCs w:val="32"/>
        </w:rPr>
        <w:t xml:space="preserve"> заключается в наиболее полном удовлетворении спроса потребит</w:t>
      </w:r>
      <w:r>
        <w:rPr>
          <w:sz w:val="32"/>
          <w:szCs w:val="32"/>
        </w:rPr>
        <w:t>е</w:t>
      </w:r>
      <w:r>
        <w:rPr>
          <w:sz w:val="32"/>
          <w:szCs w:val="32"/>
        </w:rPr>
        <w:t>лей в МР при минимальных затратах на строительство новых складов, расширение и реконструкцию действующих, их экспл</w:t>
      </w:r>
      <w:r>
        <w:rPr>
          <w:sz w:val="32"/>
          <w:szCs w:val="32"/>
        </w:rPr>
        <w:t>у</w:t>
      </w:r>
      <w:r>
        <w:rPr>
          <w:sz w:val="32"/>
          <w:szCs w:val="32"/>
        </w:rPr>
        <w:t>атацию и доставку материалов потребителям. Решение этой задачи сводится к определению пунктов строительства новых складов, их мощности и количества, а также динамики развития действующих. Одновременно устанавливается специализация складов, прикрепление к ним потребителей и определяются раци</w:t>
      </w:r>
      <w:r>
        <w:rPr>
          <w:sz w:val="32"/>
          <w:szCs w:val="32"/>
        </w:rPr>
        <w:t>о</w:t>
      </w:r>
      <w:r>
        <w:rPr>
          <w:sz w:val="32"/>
          <w:szCs w:val="32"/>
        </w:rPr>
        <w:t>нальные виды транспорта.</w:t>
      </w:r>
    </w:p>
    <w:p w:rsidR="00687A3F" w:rsidRDefault="00687A3F" w:rsidP="00687A3F">
      <w:pPr>
        <w:pStyle w:val="a3"/>
        <w:widowControl w:val="0"/>
        <w:spacing w:before="0" w:after="0"/>
        <w:ind w:firstLine="708"/>
        <w:jc w:val="both"/>
      </w:pPr>
      <w:r>
        <w:rPr>
          <w:sz w:val="32"/>
          <w:szCs w:val="32"/>
        </w:rPr>
        <w:t>Территориальное размещение складов и их количество определяет множество факторов:</w:t>
      </w:r>
    </w:p>
    <w:p w:rsidR="00687A3F" w:rsidRDefault="00687A3F" w:rsidP="00687A3F">
      <w:pPr>
        <w:pStyle w:val="a3"/>
        <w:widowControl w:val="0"/>
        <w:numPr>
          <w:ilvl w:val="0"/>
          <w:numId w:val="1"/>
        </w:numPr>
        <w:tabs>
          <w:tab w:val="left" w:pos="840"/>
        </w:tabs>
        <w:spacing w:before="0" w:after="0"/>
        <w:ind w:left="0" w:firstLine="480"/>
        <w:jc w:val="both"/>
      </w:pPr>
      <w:r>
        <w:rPr>
          <w:sz w:val="32"/>
          <w:szCs w:val="32"/>
        </w:rPr>
        <w:t>мощность материальных потоков и их рациональная орган</w:t>
      </w:r>
      <w:r>
        <w:rPr>
          <w:sz w:val="32"/>
          <w:szCs w:val="32"/>
        </w:rPr>
        <w:t>и</w:t>
      </w:r>
      <w:r>
        <w:rPr>
          <w:sz w:val="32"/>
          <w:szCs w:val="32"/>
        </w:rPr>
        <w:t>зация;</w:t>
      </w:r>
    </w:p>
    <w:p w:rsidR="00687A3F" w:rsidRDefault="00687A3F" w:rsidP="00687A3F">
      <w:pPr>
        <w:pStyle w:val="a3"/>
        <w:widowControl w:val="0"/>
        <w:numPr>
          <w:ilvl w:val="0"/>
          <w:numId w:val="1"/>
        </w:numPr>
        <w:tabs>
          <w:tab w:val="left" w:pos="840"/>
        </w:tabs>
        <w:spacing w:before="0" w:after="0"/>
        <w:ind w:left="0" w:firstLine="480"/>
        <w:jc w:val="both"/>
        <w:rPr>
          <w:sz w:val="32"/>
          <w:szCs w:val="32"/>
        </w:rPr>
      </w:pPr>
      <w:r>
        <w:rPr>
          <w:sz w:val="32"/>
          <w:szCs w:val="32"/>
        </w:rPr>
        <w:t>спрос на рынке сбыта;</w:t>
      </w:r>
    </w:p>
    <w:p w:rsidR="00687A3F" w:rsidRDefault="00687A3F" w:rsidP="00687A3F">
      <w:pPr>
        <w:pStyle w:val="a3"/>
        <w:widowControl w:val="0"/>
        <w:numPr>
          <w:ilvl w:val="0"/>
          <w:numId w:val="1"/>
        </w:numPr>
        <w:tabs>
          <w:tab w:val="left" w:pos="840"/>
        </w:tabs>
        <w:spacing w:before="0" w:after="0"/>
        <w:ind w:left="0" w:firstLine="480"/>
        <w:jc w:val="both"/>
      </w:pPr>
      <w:r>
        <w:rPr>
          <w:sz w:val="32"/>
          <w:szCs w:val="32"/>
        </w:rPr>
        <w:t>размеры региона сбыта и концентрация в нем потребителей;</w:t>
      </w:r>
    </w:p>
    <w:p w:rsidR="00687A3F" w:rsidRDefault="00687A3F" w:rsidP="00687A3F">
      <w:pPr>
        <w:pStyle w:val="a3"/>
        <w:widowControl w:val="0"/>
        <w:numPr>
          <w:ilvl w:val="0"/>
          <w:numId w:val="1"/>
        </w:numPr>
        <w:tabs>
          <w:tab w:val="left" w:pos="840"/>
        </w:tabs>
        <w:spacing w:before="0" w:after="0"/>
        <w:ind w:left="0" w:firstLine="480"/>
        <w:jc w:val="both"/>
      </w:pPr>
      <w:r>
        <w:rPr>
          <w:sz w:val="32"/>
          <w:szCs w:val="32"/>
        </w:rPr>
        <w:t>относительное расположение поставщиков и покупателей;</w:t>
      </w:r>
    </w:p>
    <w:p w:rsidR="00687A3F" w:rsidRDefault="00687A3F" w:rsidP="00687A3F">
      <w:pPr>
        <w:pStyle w:val="a3"/>
        <w:widowControl w:val="0"/>
        <w:numPr>
          <w:ilvl w:val="0"/>
          <w:numId w:val="1"/>
        </w:numPr>
        <w:tabs>
          <w:tab w:val="left" w:pos="840"/>
        </w:tabs>
        <w:spacing w:before="0" w:after="0"/>
        <w:ind w:left="0" w:firstLine="480"/>
        <w:jc w:val="both"/>
        <w:rPr>
          <w:sz w:val="32"/>
          <w:szCs w:val="32"/>
        </w:rPr>
      </w:pPr>
      <w:r>
        <w:rPr>
          <w:sz w:val="32"/>
          <w:szCs w:val="32"/>
        </w:rPr>
        <w:t>особенности коммуникационных связей и т.д.</w:t>
      </w:r>
    </w:p>
    <w:p w:rsidR="00687A3F" w:rsidRDefault="00687A3F" w:rsidP="00687A3F">
      <w:pPr>
        <w:pStyle w:val="a3"/>
        <w:widowControl w:val="0"/>
        <w:spacing w:before="0" w:after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Данной задаче уделено много внимания в работах зарубе</w:t>
      </w:r>
      <w:r>
        <w:rPr>
          <w:sz w:val="32"/>
          <w:szCs w:val="32"/>
        </w:rPr>
        <w:t>ж</w:t>
      </w:r>
      <w:r>
        <w:rPr>
          <w:sz w:val="32"/>
          <w:szCs w:val="32"/>
        </w:rPr>
        <w:t>ных и отечественных специалистов. Рассмотрим модель системы распределения материального потока, представленную на рис.6.2.</w:t>
      </w:r>
    </w:p>
    <w:p w:rsidR="00687A3F" w:rsidRDefault="00687A3F" w:rsidP="00687A3F">
      <w:pPr>
        <w:pStyle w:val="a3"/>
        <w:widowControl w:val="0"/>
        <w:spacing w:before="0" w:after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Допустим, что на определенной территории имеется некоторое количество потребителей материального потока. </w:t>
      </w:r>
      <w:proofErr w:type="spellStart"/>
      <w:r>
        <w:rPr>
          <w:sz w:val="32"/>
          <w:szCs w:val="32"/>
        </w:rPr>
        <w:t>Н</w:t>
      </w:r>
      <w:proofErr w:type="gramStart"/>
      <w:r>
        <w:rPr>
          <w:sz w:val="32"/>
          <w:szCs w:val="32"/>
        </w:rPr>
        <w:t>a</w:t>
      </w:r>
      <w:proofErr w:type="spellEnd"/>
      <w:proofErr w:type="gramEnd"/>
      <w:r>
        <w:rPr>
          <w:sz w:val="32"/>
          <w:szCs w:val="32"/>
        </w:rPr>
        <w:t xml:space="preserve"> рисунке представлено три варианта организации распределения: с п</w:t>
      </w:r>
      <w:r>
        <w:rPr>
          <w:sz w:val="32"/>
          <w:szCs w:val="32"/>
        </w:rPr>
        <w:t>о</w:t>
      </w:r>
      <w:r>
        <w:rPr>
          <w:sz w:val="32"/>
          <w:szCs w:val="32"/>
        </w:rPr>
        <w:t xml:space="preserve">мощью одного, двух или шести складов (соответственно, рисунки </w:t>
      </w:r>
      <w:r>
        <w:rPr>
          <w:i/>
          <w:sz w:val="32"/>
          <w:szCs w:val="32"/>
        </w:rPr>
        <w:t>а</w:t>
      </w:r>
      <w:r>
        <w:rPr>
          <w:sz w:val="32"/>
          <w:szCs w:val="32"/>
        </w:rPr>
        <w:t xml:space="preserve">, </w:t>
      </w:r>
      <w:r>
        <w:rPr>
          <w:i/>
          <w:sz w:val="32"/>
          <w:szCs w:val="32"/>
        </w:rPr>
        <w:t>б</w:t>
      </w:r>
      <w:r>
        <w:rPr>
          <w:sz w:val="32"/>
          <w:szCs w:val="32"/>
        </w:rPr>
        <w:t xml:space="preserve"> и </w:t>
      </w:r>
      <w:r>
        <w:rPr>
          <w:i/>
          <w:sz w:val="32"/>
          <w:szCs w:val="32"/>
        </w:rPr>
        <w:t>в</w:t>
      </w:r>
      <w:r>
        <w:rPr>
          <w:sz w:val="32"/>
          <w:szCs w:val="32"/>
        </w:rPr>
        <w:t>). Очевидно, что в случае принятия варианта (</w:t>
      </w:r>
      <w:r>
        <w:rPr>
          <w:i/>
          <w:sz w:val="32"/>
          <w:szCs w:val="32"/>
        </w:rPr>
        <w:t>а</w:t>
      </w:r>
      <w:r>
        <w:rPr>
          <w:sz w:val="32"/>
          <w:szCs w:val="32"/>
        </w:rPr>
        <w:t>) тран</w:t>
      </w:r>
      <w:r>
        <w:rPr>
          <w:sz w:val="32"/>
          <w:szCs w:val="32"/>
        </w:rPr>
        <w:t>с</w:t>
      </w:r>
      <w:r>
        <w:rPr>
          <w:sz w:val="32"/>
          <w:szCs w:val="32"/>
        </w:rPr>
        <w:t>портные расходы по доставке будут наибольшими. Вариант (</w:t>
      </w:r>
      <w:r>
        <w:rPr>
          <w:i/>
          <w:sz w:val="32"/>
          <w:szCs w:val="32"/>
        </w:rPr>
        <w:t>в</w:t>
      </w:r>
      <w:r>
        <w:rPr>
          <w:sz w:val="32"/>
          <w:szCs w:val="32"/>
        </w:rPr>
        <w:t>) предполагает наличие шести распределительных центров, макс</w:t>
      </w:r>
      <w:r>
        <w:rPr>
          <w:sz w:val="32"/>
          <w:szCs w:val="32"/>
        </w:rPr>
        <w:t>и</w:t>
      </w:r>
      <w:r>
        <w:rPr>
          <w:sz w:val="32"/>
          <w:szCs w:val="32"/>
        </w:rPr>
        <w:t xml:space="preserve">мально приближенных к местам сосредоточения потребителей материального потока. </w:t>
      </w:r>
    </w:p>
    <w:p w:rsidR="00687A3F" w:rsidRDefault="00687A3F" w:rsidP="00687A3F">
      <w:pPr>
        <w:pStyle w:val="a3"/>
        <w:widowControl w:val="0"/>
        <w:spacing w:before="0" w:after="0"/>
        <w:ind w:firstLine="709"/>
        <w:jc w:val="both"/>
        <w:rPr>
          <w:sz w:val="32"/>
          <w:szCs w:val="32"/>
        </w:rPr>
      </w:pPr>
    </w:p>
    <w:p w:rsidR="00687A3F" w:rsidRDefault="00687A3F" w:rsidP="00687A3F">
      <w:pPr>
        <w:pStyle w:val="a3"/>
        <w:widowControl w:val="0"/>
        <w:spacing w:before="0" w:after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5229835" wp14:editId="6B35F5FA">
            <wp:extent cx="4695190" cy="2099310"/>
            <wp:effectExtent l="0" t="0" r="0" b="0"/>
            <wp:docPr id="1" name="Image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7" t="-13" r="-7" b="-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190" cy="209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A3F" w:rsidRDefault="00687A3F" w:rsidP="00687A3F">
      <w:pPr>
        <w:pStyle w:val="a3"/>
        <w:widowControl w:val="0"/>
        <w:spacing w:before="0" w:after="0"/>
        <w:jc w:val="center"/>
        <w:rPr>
          <w:sz w:val="32"/>
          <w:szCs w:val="32"/>
        </w:rPr>
      </w:pPr>
      <w:r>
        <w:rPr>
          <w:sz w:val="32"/>
          <w:szCs w:val="32"/>
        </w:rPr>
        <w:t>Условные обозначения:</w:t>
      </w:r>
    </w:p>
    <w:p w:rsidR="00687A3F" w:rsidRDefault="00687A3F" w:rsidP="00687A3F">
      <w:pPr>
        <w:pStyle w:val="a3"/>
        <w:widowControl w:val="0"/>
        <w:spacing w:before="0" w:after="0"/>
        <w:ind w:left="2160"/>
        <w:rPr>
          <w:sz w:val="32"/>
          <w:szCs w:val="32"/>
        </w:rPr>
      </w:pPr>
      <w:r>
        <w:rPr>
          <w:sz w:val="32"/>
          <w:szCs w:val="32"/>
        </w:rPr>
        <w:t>■ распределительные центры (склады);</w:t>
      </w:r>
    </w:p>
    <w:p w:rsidR="00687A3F" w:rsidRDefault="00687A3F" w:rsidP="00687A3F">
      <w:pPr>
        <w:widowControl w:val="0"/>
        <w:tabs>
          <w:tab w:val="left" w:pos="2700"/>
        </w:tabs>
        <w:ind w:left="2160"/>
        <w:rPr>
          <w:sz w:val="32"/>
          <w:szCs w:val="32"/>
        </w:rPr>
      </w:pPr>
      <w:r>
        <w:rPr>
          <w:sz w:val="32"/>
          <w:szCs w:val="32"/>
        </w:rPr>
        <w:t>● потребители материального потока;</w:t>
      </w:r>
    </w:p>
    <w:p w:rsidR="00687A3F" w:rsidRDefault="00687A3F" w:rsidP="00687A3F">
      <w:pPr>
        <w:pStyle w:val="a3"/>
        <w:widowControl w:val="0"/>
        <w:spacing w:before="0" w:after="0"/>
        <w:ind w:left="2160"/>
        <w:rPr>
          <w:sz w:val="32"/>
          <w:szCs w:val="32"/>
        </w:rPr>
      </w:pPr>
      <w:r>
        <w:rPr>
          <w:sz w:val="32"/>
          <w:szCs w:val="32"/>
        </w:rPr>
        <w:t>----- - материальные потоки.</w:t>
      </w:r>
    </w:p>
    <w:p w:rsidR="00687A3F" w:rsidRDefault="00687A3F" w:rsidP="00687A3F">
      <w:pPr>
        <w:pStyle w:val="a3"/>
        <w:widowControl w:val="0"/>
        <w:spacing w:before="0" w:after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Рис. 6.2. Варианты организации распределения материального потока: </w:t>
      </w:r>
      <w:r>
        <w:rPr>
          <w:i/>
          <w:sz w:val="32"/>
          <w:szCs w:val="32"/>
        </w:rPr>
        <w:t>а</w:t>
      </w:r>
      <w:r>
        <w:rPr>
          <w:sz w:val="32"/>
          <w:szCs w:val="32"/>
        </w:rPr>
        <w:t xml:space="preserve">) с одним распределительным центром; </w:t>
      </w:r>
      <w:r>
        <w:rPr>
          <w:i/>
          <w:sz w:val="32"/>
          <w:szCs w:val="32"/>
        </w:rPr>
        <w:t>б</w:t>
      </w:r>
      <w:r>
        <w:rPr>
          <w:sz w:val="32"/>
          <w:szCs w:val="32"/>
        </w:rPr>
        <w:t>) с двумя ра</w:t>
      </w:r>
      <w:r>
        <w:rPr>
          <w:sz w:val="32"/>
          <w:szCs w:val="32"/>
        </w:rPr>
        <w:t>с</w:t>
      </w:r>
      <w:r>
        <w:rPr>
          <w:sz w:val="32"/>
          <w:szCs w:val="32"/>
        </w:rPr>
        <w:t xml:space="preserve">пределительными центрами; </w:t>
      </w:r>
      <w:r>
        <w:rPr>
          <w:i/>
          <w:sz w:val="32"/>
          <w:szCs w:val="32"/>
        </w:rPr>
        <w:t>в</w:t>
      </w:r>
      <w:r>
        <w:rPr>
          <w:sz w:val="32"/>
          <w:szCs w:val="32"/>
        </w:rPr>
        <w:t>) с шестью распределительными центрами</w:t>
      </w:r>
    </w:p>
    <w:p w:rsidR="00687A3F" w:rsidRDefault="00687A3F" w:rsidP="00687A3F">
      <w:pPr>
        <w:pStyle w:val="a3"/>
        <w:widowControl w:val="0"/>
        <w:spacing w:before="0" w:after="0"/>
        <w:jc w:val="center"/>
        <w:rPr>
          <w:sz w:val="32"/>
          <w:szCs w:val="32"/>
        </w:rPr>
      </w:pPr>
    </w:p>
    <w:p w:rsidR="00687A3F" w:rsidRDefault="00687A3F" w:rsidP="00687A3F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>В этом случае транспортные расходы по товароснабжению будут минимальными. Однако появление в системе распредел</w:t>
      </w:r>
      <w:r>
        <w:rPr>
          <w:sz w:val="32"/>
          <w:szCs w:val="32"/>
        </w:rPr>
        <w:t>е</w:t>
      </w:r>
      <w:r>
        <w:rPr>
          <w:sz w:val="32"/>
          <w:szCs w:val="32"/>
        </w:rPr>
        <w:t>ния пяти дополнительных складов увеличивает эксплуатацио</w:t>
      </w:r>
      <w:r>
        <w:rPr>
          <w:sz w:val="32"/>
          <w:szCs w:val="32"/>
        </w:rPr>
        <w:t>н</w:t>
      </w:r>
      <w:r>
        <w:rPr>
          <w:sz w:val="32"/>
          <w:szCs w:val="32"/>
        </w:rPr>
        <w:t>ные расходы, затраты на доставку товаров на склады, на управл</w:t>
      </w:r>
      <w:r>
        <w:rPr>
          <w:sz w:val="32"/>
          <w:szCs w:val="32"/>
        </w:rPr>
        <w:t>е</w:t>
      </w:r>
      <w:r>
        <w:rPr>
          <w:sz w:val="32"/>
          <w:szCs w:val="32"/>
        </w:rPr>
        <w:t>ние всей распределительной системой. Не исключено, что допо</w:t>
      </w:r>
      <w:r>
        <w:rPr>
          <w:sz w:val="32"/>
          <w:szCs w:val="32"/>
        </w:rPr>
        <w:t>л</w:t>
      </w:r>
      <w:r>
        <w:rPr>
          <w:sz w:val="32"/>
          <w:szCs w:val="32"/>
        </w:rPr>
        <w:t>нительные затраты в этом случае могут значительно превысить экономический выигрыш, полученный от сокращения пробега транспорта, доставляющего товары потребителям. Поэтому возможно, что предпочтительнее окажется вариант (</w:t>
      </w:r>
      <w:r>
        <w:rPr>
          <w:i/>
          <w:sz w:val="32"/>
          <w:szCs w:val="32"/>
        </w:rPr>
        <w:t>б</w:t>
      </w:r>
      <w:r>
        <w:rPr>
          <w:sz w:val="32"/>
          <w:szCs w:val="32"/>
        </w:rPr>
        <w:t>), согласно к</w:t>
      </w:r>
      <w:r>
        <w:rPr>
          <w:sz w:val="32"/>
          <w:szCs w:val="32"/>
        </w:rPr>
        <w:t>о</w:t>
      </w:r>
      <w:r>
        <w:rPr>
          <w:sz w:val="32"/>
          <w:szCs w:val="32"/>
        </w:rPr>
        <w:t>торому район обслуживается двумя складами.</w:t>
      </w:r>
    </w:p>
    <w:p w:rsidR="00687A3F" w:rsidRDefault="00687A3F" w:rsidP="00687A3F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>Как видно, при изменении количества складов в системе распределения часть издержек, связанных с процессом доведения материального потока до потребителя, возрастает, а часть сниж</w:t>
      </w:r>
      <w:r>
        <w:rPr>
          <w:sz w:val="32"/>
          <w:szCs w:val="32"/>
        </w:rPr>
        <w:t>а</w:t>
      </w:r>
      <w:r>
        <w:rPr>
          <w:sz w:val="32"/>
          <w:szCs w:val="32"/>
        </w:rPr>
        <w:t>ется. Это позволяет ставить и решать задачу поиска оптимальн</w:t>
      </w:r>
      <w:r>
        <w:rPr>
          <w:sz w:val="32"/>
          <w:szCs w:val="32"/>
        </w:rPr>
        <w:t>о</w:t>
      </w:r>
      <w:r>
        <w:rPr>
          <w:sz w:val="32"/>
          <w:szCs w:val="32"/>
        </w:rPr>
        <w:t>го количества складов. Ниже рассматривается графический метод решения данной задачи</w:t>
      </w:r>
      <w:r>
        <w:rPr>
          <w:sz w:val="28"/>
          <w:szCs w:val="28"/>
        </w:rPr>
        <w:t xml:space="preserve"> </w:t>
      </w:r>
      <w:r>
        <w:rPr>
          <w:sz w:val="32"/>
          <w:szCs w:val="32"/>
        </w:rPr>
        <w:t>(рис.6.3).</w:t>
      </w:r>
    </w:p>
    <w:p w:rsidR="00687A3F" w:rsidRDefault="00687A3F" w:rsidP="00687A3F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 xml:space="preserve">Выберем в качестве независимой переменной величину </w:t>
      </w:r>
      <w:r>
        <w:rPr>
          <w:i/>
          <w:sz w:val="32"/>
          <w:szCs w:val="32"/>
        </w:rPr>
        <w:t>N</w:t>
      </w:r>
      <w:r>
        <w:rPr>
          <w:sz w:val="32"/>
          <w:szCs w:val="32"/>
        </w:rPr>
        <w:t xml:space="preserve"> - количество складов, через которые осуществляется снабжение потребителей. В качестве зависимых переменных рассмотрим следующие виды издержек:</w:t>
      </w:r>
    </w:p>
    <w:p w:rsidR="00687A3F" w:rsidRDefault="00687A3F" w:rsidP="00687A3F">
      <w:pPr>
        <w:pStyle w:val="a3"/>
        <w:widowControl w:val="0"/>
        <w:numPr>
          <w:ilvl w:val="0"/>
          <w:numId w:val="2"/>
        </w:numPr>
        <w:tabs>
          <w:tab w:val="left" w:pos="960"/>
        </w:tabs>
        <w:spacing w:before="0" w:after="0"/>
        <w:ind w:left="0" w:firstLine="720"/>
        <w:jc w:val="both"/>
      </w:pPr>
      <w:r>
        <w:rPr>
          <w:sz w:val="32"/>
          <w:szCs w:val="32"/>
        </w:rPr>
        <w:t xml:space="preserve">транспортные расходы  (увеличатся на доставку груза,    так </w:t>
      </w:r>
      <w:r>
        <w:rPr>
          <w:sz w:val="32"/>
          <w:szCs w:val="32"/>
        </w:rPr>
        <w:lastRenderedPageBreak/>
        <w:t>как увеличится пробег транспорта, но уменьшаться   на д</w:t>
      </w:r>
      <w:r>
        <w:rPr>
          <w:sz w:val="32"/>
          <w:szCs w:val="32"/>
        </w:rPr>
        <w:t>о</w:t>
      </w:r>
      <w:r>
        <w:rPr>
          <w:sz w:val="32"/>
          <w:szCs w:val="32"/>
        </w:rPr>
        <w:t>ставку товаров клиенту);</w:t>
      </w:r>
    </w:p>
    <w:p w:rsidR="00687A3F" w:rsidRDefault="00687A3F" w:rsidP="00687A3F">
      <w:pPr>
        <w:pStyle w:val="a3"/>
        <w:widowControl w:val="0"/>
        <w:numPr>
          <w:ilvl w:val="0"/>
          <w:numId w:val="2"/>
        </w:numPr>
        <w:tabs>
          <w:tab w:val="left" w:pos="960"/>
        </w:tabs>
        <w:spacing w:before="0" w:after="0"/>
        <w:ind w:left="0" w:firstLine="720"/>
        <w:jc w:val="both"/>
        <w:rPr>
          <w:sz w:val="32"/>
          <w:szCs w:val="32"/>
        </w:rPr>
      </w:pPr>
      <w:r>
        <w:rPr>
          <w:sz w:val="32"/>
          <w:szCs w:val="32"/>
        </w:rPr>
        <w:t>расходы на содержание запасов  (возрастут из-за роста    совокупных запасов, особенно страхового запаса);</w:t>
      </w:r>
    </w:p>
    <w:p w:rsidR="00687A3F" w:rsidRDefault="00687A3F" w:rsidP="00687A3F">
      <w:pPr>
        <w:pStyle w:val="a3"/>
        <w:widowControl w:val="0"/>
        <w:numPr>
          <w:ilvl w:val="0"/>
          <w:numId w:val="2"/>
        </w:numPr>
        <w:tabs>
          <w:tab w:val="left" w:pos="960"/>
        </w:tabs>
        <w:spacing w:before="0" w:after="0"/>
        <w:ind w:left="0" w:firstLine="720"/>
        <w:jc w:val="both"/>
      </w:pPr>
      <w:r>
        <w:rPr>
          <w:sz w:val="32"/>
          <w:szCs w:val="32"/>
        </w:rPr>
        <w:t>расходы, связанные с эксплуатацией складского хозяйства (возрастают пропорционально увеличению складов);</w:t>
      </w:r>
    </w:p>
    <w:p w:rsidR="00687A3F" w:rsidRDefault="00687A3F" w:rsidP="00687A3F">
      <w:pPr>
        <w:pStyle w:val="a3"/>
        <w:widowControl w:val="0"/>
        <w:numPr>
          <w:ilvl w:val="0"/>
          <w:numId w:val="2"/>
        </w:numPr>
        <w:tabs>
          <w:tab w:val="left" w:pos="960"/>
        </w:tabs>
        <w:spacing w:before="0" w:after="0"/>
        <w:ind w:left="0" w:firstLine="72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расходы, связанные с управлением складской системой   (возрастают пропорционально увеличению складов). </w:t>
      </w:r>
    </w:p>
    <w:p w:rsidR="00687A3F" w:rsidRDefault="00687A3F" w:rsidP="00687A3F">
      <w:pPr>
        <w:pStyle w:val="a3"/>
        <w:widowControl w:val="0"/>
        <w:spacing w:before="0" w:after="0"/>
        <w:ind w:firstLine="709"/>
        <w:jc w:val="both"/>
        <w:rPr>
          <w:sz w:val="32"/>
          <w:szCs w:val="32"/>
        </w:rPr>
      </w:pPr>
    </w:p>
    <w:p w:rsidR="00687A3F" w:rsidRDefault="00687A3F" w:rsidP="00687A3F">
      <w:pPr>
        <w:pStyle w:val="a3"/>
        <w:widowControl w:val="0"/>
        <w:spacing w:before="0" w:after="0"/>
        <w:jc w:val="center"/>
      </w:pPr>
      <w:r>
        <w:rPr>
          <w:noProof/>
          <w:lang w:eastAsia="ru-RU"/>
        </w:rPr>
        <w:drawing>
          <wp:inline distT="0" distB="0" distL="0" distR="0" wp14:anchorId="3AF6F69C" wp14:editId="2F5F9EF5">
            <wp:extent cx="5765800" cy="3403600"/>
            <wp:effectExtent l="0" t="0" r="0" b="0"/>
            <wp:docPr id="2" name="Image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4" t="-7" r="-4" b="-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0" cy="340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7A3F" w:rsidRDefault="00687A3F" w:rsidP="00687A3F">
      <w:pPr>
        <w:pStyle w:val="a3"/>
        <w:widowControl w:val="0"/>
        <w:spacing w:before="0" w:after="0"/>
        <w:jc w:val="center"/>
      </w:pPr>
      <w:r>
        <w:rPr>
          <w:sz w:val="32"/>
          <w:szCs w:val="32"/>
        </w:rPr>
        <w:t>Рис.6.3. Характер изменения логистических издержек</w:t>
      </w:r>
    </w:p>
    <w:p w:rsidR="00687A3F" w:rsidRDefault="00687A3F" w:rsidP="00687A3F">
      <w:pPr>
        <w:pStyle w:val="a3"/>
        <w:widowControl w:val="0"/>
        <w:spacing w:before="0" w:after="0"/>
        <w:jc w:val="center"/>
        <w:rPr>
          <w:sz w:val="32"/>
          <w:szCs w:val="32"/>
        </w:rPr>
      </w:pPr>
      <w:r>
        <w:rPr>
          <w:sz w:val="32"/>
          <w:szCs w:val="32"/>
        </w:rPr>
        <w:t>в зависимости от количества складов</w:t>
      </w:r>
    </w:p>
    <w:p w:rsidR="00687A3F" w:rsidRDefault="00687A3F" w:rsidP="00687A3F">
      <w:pPr>
        <w:pStyle w:val="a3"/>
        <w:widowControl w:val="0"/>
        <w:spacing w:before="0" w:after="0"/>
        <w:rPr>
          <w:b/>
          <w:sz w:val="32"/>
          <w:szCs w:val="32"/>
        </w:rPr>
      </w:pPr>
    </w:p>
    <w:p w:rsidR="00687A3F" w:rsidRDefault="00687A3F" w:rsidP="00687A3F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 xml:space="preserve">Состав издержек, меняющихся при изменении количества складов в системе распределения и учитываемых при решении данной задачи, может быть иным. </w:t>
      </w:r>
      <w:proofErr w:type="gramStart"/>
      <w:r>
        <w:rPr>
          <w:sz w:val="32"/>
          <w:szCs w:val="32"/>
        </w:rPr>
        <w:t>Например, кроме перечисле</w:t>
      </w:r>
      <w:r>
        <w:rPr>
          <w:sz w:val="32"/>
          <w:szCs w:val="32"/>
        </w:rPr>
        <w:t>н</w:t>
      </w:r>
      <w:r>
        <w:rPr>
          <w:sz w:val="32"/>
          <w:szCs w:val="32"/>
        </w:rPr>
        <w:t>ных выше, включаются “затраты от упущенных продаж”.</w:t>
      </w:r>
      <w:proofErr w:type="gramEnd"/>
      <w:r>
        <w:rPr>
          <w:sz w:val="32"/>
          <w:szCs w:val="32"/>
        </w:rPr>
        <w:t xml:space="preserve"> В ка</w:t>
      </w:r>
      <w:r>
        <w:rPr>
          <w:sz w:val="32"/>
          <w:szCs w:val="32"/>
        </w:rPr>
        <w:t>ж</w:t>
      </w:r>
      <w:r>
        <w:rPr>
          <w:sz w:val="32"/>
          <w:szCs w:val="32"/>
        </w:rPr>
        <w:t>дом конкретном случае, определяя оптимальное количество складов в системе распределения, состав изменяющихся изде</w:t>
      </w:r>
      <w:r>
        <w:rPr>
          <w:sz w:val="32"/>
          <w:szCs w:val="32"/>
        </w:rPr>
        <w:t>р</w:t>
      </w:r>
      <w:r>
        <w:rPr>
          <w:sz w:val="32"/>
          <w:szCs w:val="32"/>
        </w:rPr>
        <w:t>жек должен быть обоснован на основе решения отдельной зад</w:t>
      </w:r>
      <w:r>
        <w:rPr>
          <w:sz w:val="32"/>
          <w:szCs w:val="32"/>
        </w:rPr>
        <w:t>а</w:t>
      </w:r>
      <w:r>
        <w:rPr>
          <w:sz w:val="32"/>
          <w:szCs w:val="32"/>
        </w:rPr>
        <w:t xml:space="preserve">чи. </w:t>
      </w:r>
    </w:p>
    <w:p w:rsidR="00687A3F" w:rsidRDefault="00687A3F" w:rsidP="00687A3F">
      <w:pPr>
        <w:pStyle w:val="a3"/>
        <w:widowControl w:val="0"/>
        <w:spacing w:before="0" w:after="0"/>
        <w:ind w:firstLine="709"/>
        <w:jc w:val="both"/>
      </w:pPr>
      <w:r>
        <w:rPr>
          <w:sz w:val="32"/>
          <w:szCs w:val="32"/>
        </w:rPr>
        <w:t>Считается, что транспортные затраты и упущенная выгода от продаж уменьшаются с увеличением количества складов, т</w:t>
      </w:r>
      <w:r>
        <w:rPr>
          <w:sz w:val="32"/>
          <w:szCs w:val="32"/>
        </w:rPr>
        <w:t>о</w:t>
      </w:r>
      <w:r>
        <w:rPr>
          <w:sz w:val="32"/>
          <w:szCs w:val="32"/>
        </w:rPr>
        <w:t>гда как расходы на содержание запасов, эксплуатацию складск</w:t>
      </w:r>
      <w:r>
        <w:rPr>
          <w:sz w:val="32"/>
          <w:szCs w:val="32"/>
        </w:rPr>
        <w:t>о</w:t>
      </w:r>
      <w:r>
        <w:rPr>
          <w:sz w:val="32"/>
          <w:szCs w:val="32"/>
        </w:rPr>
        <w:t xml:space="preserve">го хозяйства и управление складской системой возрастают. Наличие указанных противоречивых тенденций приводит к тому, что </w:t>
      </w:r>
      <w:r>
        <w:rPr>
          <w:sz w:val="32"/>
          <w:szCs w:val="32"/>
        </w:rPr>
        <w:lastRenderedPageBreak/>
        <w:t>зависимость общих затрат на функционирование системы распределения от количества складов имеет параболический х</w:t>
      </w:r>
      <w:r>
        <w:rPr>
          <w:sz w:val="32"/>
          <w:szCs w:val="32"/>
        </w:rPr>
        <w:t>а</w:t>
      </w:r>
      <w:r>
        <w:rPr>
          <w:sz w:val="32"/>
          <w:szCs w:val="32"/>
        </w:rPr>
        <w:t xml:space="preserve">рактер с явно выраженным оптимумом. </w:t>
      </w:r>
    </w:p>
    <w:p w:rsidR="00EE39D3" w:rsidRDefault="00EE39D3"/>
    <w:sectPr w:rsidR="00EE39D3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74B" w:rsidRDefault="0089374B" w:rsidP="009B2BD9">
      <w:r>
        <w:separator/>
      </w:r>
    </w:p>
  </w:endnote>
  <w:endnote w:type="continuationSeparator" w:id="0">
    <w:p w:rsidR="0089374B" w:rsidRDefault="0089374B" w:rsidP="009B2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29324695"/>
      <w:docPartObj>
        <w:docPartGallery w:val="Page Numbers (Bottom of Page)"/>
        <w:docPartUnique/>
      </w:docPartObj>
    </w:sdtPr>
    <w:sdtContent>
      <w:p w:rsidR="009B2BD9" w:rsidRDefault="009B2BD9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9B2BD9" w:rsidRDefault="009B2BD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74B" w:rsidRDefault="0089374B" w:rsidP="009B2BD9">
      <w:r>
        <w:separator/>
      </w:r>
    </w:p>
  </w:footnote>
  <w:footnote w:type="continuationSeparator" w:id="0">
    <w:p w:rsidR="0089374B" w:rsidRDefault="0089374B" w:rsidP="009B2B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95F90"/>
    <w:multiLevelType w:val="multilevel"/>
    <w:tmpl w:val="DA28C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32"/>
        <w:szCs w:val="3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EF23DB"/>
    <w:multiLevelType w:val="multilevel"/>
    <w:tmpl w:val="A61AA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32"/>
        <w:szCs w:val="32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5C8"/>
    <w:rsid w:val="00053D95"/>
    <w:rsid w:val="00687A3F"/>
    <w:rsid w:val="00887E05"/>
    <w:rsid w:val="0089374B"/>
    <w:rsid w:val="009B2BD9"/>
    <w:rsid w:val="00EE39D3"/>
    <w:rsid w:val="00F16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A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87A3F"/>
    <w:pPr>
      <w:spacing w:before="280" w:after="280"/>
    </w:pPr>
    <w:rPr>
      <w:color w:val="333333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87A3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7A3F"/>
    <w:rPr>
      <w:rFonts w:ascii="Tahoma" w:eastAsia="Times New Roman" w:hAnsi="Tahoma" w:cs="Tahoma"/>
      <w:sz w:val="16"/>
      <w:szCs w:val="16"/>
      <w:lang w:eastAsia="zh-CN"/>
    </w:rPr>
  </w:style>
  <w:style w:type="paragraph" w:styleId="a6">
    <w:name w:val="header"/>
    <w:basedOn w:val="a"/>
    <w:link w:val="a7"/>
    <w:uiPriority w:val="99"/>
    <w:unhideWhenUsed/>
    <w:rsid w:val="009B2BD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B2BD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8">
    <w:name w:val="footer"/>
    <w:basedOn w:val="a"/>
    <w:link w:val="a9"/>
    <w:uiPriority w:val="99"/>
    <w:unhideWhenUsed/>
    <w:rsid w:val="009B2BD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B2BD9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A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87A3F"/>
    <w:pPr>
      <w:spacing w:before="280" w:after="280"/>
    </w:pPr>
    <w:rPr>
      <w:color w:val="333333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87A3F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7A3F"/>
    <w:rPr>
      <w:rFonts w:ascii="Tahoma" w:eastAsia="Times New Roman" w:hAnsi="Tahoma" w:cs="Tahoma"/>
      <w:sz w:val="16"/>
      <w:szCs w:val="16"/>
      <w:lang w:eastAsia="zh-CN"/>
    </w:rPr>
  </w:style>
  <w:style w:type="paragraph" w:styleId="a6">
    <w:name w:val="header"/>
    <w:basedOn w:val="a"/>
    <w:link w:val="a7"/>
    <w:uiPriority w:val="99"/>
    <w:unhideWhenUsed/>
    <w:rsid w:val="009B2BD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B2BD9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8">
    <w:name w:val="footer"/>
    <w:basedOn w:val="a"/>
    <w:link w:val="a9"/>
    <w:uiPriority w:val="99"/>
    <w:unhideWhenUsed/>
    <w:rsid w:val="009B2BD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B2BD9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670</Words>
  <Characters>3823</Characters>
  <Application>Microsoft Office Word</Application>
  <DocSecurity>0</DocSecurity>
  <Lines>31</Lines>
  <Paragraphs>8</Paragraphs>
  <ScaleCrop>false</ScaleCrop>
  <Company>Microsoft</Company>
  <LinksUpToDate>false</LinksUpToDate>
  <CharactersWithSpaces>4485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2020-03-29T16:08:00Z</dcterms:created>
  <dcterms:modified xsi:type="dcterms:W3CDTF">2020-03-29T16:09:00Z</dcterms:modified>
</cp:coreProperties>
</file>